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 PACTE DU BILAN FRANÇAIS</w:t>
      </w:r>
    </w:p>
    <w:p>
      <w:pPr>
        <w:pStyle w:val="Deck"/>
      </w:pPr>
      <w:r>
        <w:t>Mobiliser le patrimoine privé pour traverser le choc démographique, restaurer les finances publiques et transformer l’économie française — 2027–2040</w:t>
      </w:r>
    </w:p>
    <w:p>
      <w:pPr>
        <w:spacing w:before="40" w:after="140"/>
        <w:pBdr>
          <w:bottom w:val="single" w:sz="10" w:space="1" w:color="C9A227"/>
        </w:pBdr>
      </w:pPr>
    </w:p>
    <w:p>
      <w:pPr>
        <w:pStyle w:val="Callout"/>
      </w:pPr>
      <w:r>
        <w:t>Document de travail — V2 enrichie — septembre 2026</w:t>
      </w:r>
    </w:p>
    <w:p>
      <w:pPr>
        <w:pStyle w:val="Small"/>
      </w:pPr>
      <w:r>
        <w:t>Une hypothèse macroéconomique à tester, non un programme arrêté.</w:t>
      </w:r>
    </w:p>
    <w:p>
      <w:pPr>
        <w:pStyle w:val="Small"/>
      </w:pPr>
      <w:r>
        <w:t>Cette V2 conserve la richesse narrative de la première version et renforce sa falsifiabilité : bilan consolidé, quatre engagements simultanés, Pacte Spread, chaîne de transmission macroéconomique, règles d’arrêt et programme de preuve.</w:t>
      </w:r>
    </w:p>
    <w:p>
      <w:r>
        <w:br w:type="page"/>
      </w:r>
    </w:p>
    <w:p>
      <w:pPr>
        <w:pStyle w:val="Heading1"/>
      </w:pPr>
      <w:r>
        <w:t>Résumé exécutif</w:t>
      </w:r>
    </w:p>
    <w:p>
      <w:r>
        <w:t>La France n’est pas un pays pauvre. Elle est un pays riche dont une grande partie de la richesse est immobilisée, tandis que son État est lourdement endetté.</w:t>
      </w:r>
    </w:p>
    <w:p>
      <w:r>
        <w:t>Fin 2025, la dette publique française atteint 3 460,5 milliards d’euros, soit 115,6 % du PIB, et le déficit public représente 5,1 % du PIB. Les dépenses publiques atteignent 57,2 % du PIB. En parallèle, les ménages français disposent d’un patrimoine considérable.</w:t>
      </w:r>
    </w:p>
    <w:p>
      <w:r>
        <w:t>Fin 2024, les ménages détenaient 4 807 milliards d’euros de logements et 4 043 milliards de terrains bâtis, soit environ 8 850 milliards d’euros pour ces deux catégories. Face à ce stock d’actifs, l’encours des crédits à l’habitat des particuliers n’était que de 1 289 milliards d’euros en juillet 2026.</w:t>
      </w:r>
    </w:p>
    <w:tbl>
      <w:tblPr>
        <w:tblW w:type="auto" w:w="0"/>
        <w:jc w:val="center"/>
        <w:tblLook w:firstColumn="1" w:firstRow="1" w:lastColumn="0" w:lastRow="0" w:noHBand="0" w:noVBand="1" w:val="04A0"/>
      </w:tblPr>
      <w:tblGrid>
        <w:gridCol w:w="9878"/>
      </w:tblGrid>
      <w:tr>
        <w:tc>
          <w:tcPr>
            <w:tcW w:type="dxa" w:w="9878"/>
            <w:shd w:fill="F2F5F7"/>
            <w:vAlign w:val="center"/>
          </w:tcPr>
          <w:p>
            <w:r>
              <w:rPr>
                <w:b/>
                <w:color w:val="162A42"/>
              </w:rPr>
              <w:t>Le paradoxe de départ</w:t>
            </w:r>
            <w:r>
              <w:br/>
              <w:t>La France publique est fortement endettée ; la France propriétaire est relativement peu endettée. Les périmètres statistiques ne permettent pas de transformer cette observation en un LTV national homogène, mais l’ordre de grandeur révèle un stock considérable d’equity résidentielle.</w:t>
            </w:r>
          </w:p>
        </w:tc>
      </w:tr>
    </w:tbl>
    <w:p>
      <w:r>
        <w:t>Ce document explore une hypothèse radicale : utiliser, une seule fois et de manière contrôlée, une fraction de cette capacité de bilan privée pour accompagner une transformation économique et budgétaire du pays.</w:t>
      </w:r>
    </w:p>
    <w:p>
      <w:r>
        <w:t>Le mécanisme central serait un cadre de mobilisation de l’equity résidentielle : des financements hypothécaires de très long terme, principalement à taux fixe et potentiellement interest-only, permettant à des propriétaires solvables de conserver une dette jusqu’à une limite prudente — par exemple 40 à 50 % de la valeur du bien — sans obligation d’amortissement systématique du principal.</w:t>
      </w:r>
    </w:p>
    <w:p>
      <w:r>
        <w:t>L’objectif ne serait pas de faire acheter des logements plus chers à crédit. Il serait de rendre progressivement liquide une fraction du capital immobilier déjà accumulé, afin de financer consommation, rénovation, investissement, création d’entreprise, formation, mobilité ou transmission anticipée.</w:t>
      </w:r>
    </w:p>
    <w:p>
      <w:r>
        <w:t>Mais ce mécanisme ne constitue pas une source permanente de prospérité. C’est une cartouche que la France ne peut tirer qu’une fois. Une fois le ratio d’endettement immobilier structurellement relevé, la même opération ne peut être répétée sans augmenter continuellement le levier des ménages.</w:t>
      </w:r>
    </w:p>
    <w:tbl>
      <w:tblPr>
        <w:tblW w:type="auto" w:w="0"/>
        <w:jc w:val="center"/>
        <w:tblLook w:firstColumn="1" w:firstRow="1" w:lastColumn="0" w:lastRow="0" w:noHBand="0" w:noVBand="1" w:val="04A0"/>
      </w:tblPr>
      <w:tblGrid>
        <w:gridCol w:w="9878"/>
      </w:tblGrid>
      <w:tr>
        <w:tc>
          <w:tcPr>
            <w:tcW w:type="dxa" w:w="9878"/>
            <w:shd w:fill="F2F5F7"/>
            <w:vAlign w:val="center"/>
          </w:tcPr>
          <w:p>
            <w:r>
              <w:rPr>
                <w:b/>
                <w:color w:val="162A42"/>
              </w:rPr>
              <w:t>La question centrale</w:t>
            </w:r>
            <w:r>
              <w:br/>
              <w:t>Que doit être devenue la France lorsque cette création supplémentaire de crédit s’arrêtera ?</w:t>
            </w:r>
          </w:p>
        </w:tc>
      </w:tr>
    </w:tbl>
    <w:p>
      <w:r>
        <w:t>La proposition étudiée ici est donc indissociable d’un pacte beaucoup plus large. Elle repose sur quatre engagements simultanés :</w:t>
      </w:r>
    </w:p>
    <w:tbl>
      <w:tblPr>
        <w:tblStyle w:val="TableGrid"/>
        <w:tblW w:type="auto" w:w="0"/>
        <w:jc w:val="center"/>
        <w:tblLook w:firstColumn="1" w:firstRow="1" w:lastColumn="0" w:lastRow="0" w:noHBand="0" w:noVBand="1" w:val="04A0"/>
      </w:tblPr>
      <w:tblGrid>
        <w:gridCol w:w="4939"/>
        <w:gridCol w:w="4939"/>
      </w:tblGrid>
      <w:tr>
        <w:tc>
          <w:tcPr>
            <w:tcW w:type="dxa" w:w="4939"/>
            <w:shd w:fill="16304A"/>
          </w:tcPr>
          <w:p>
            <w:r>
              <w:rPr>
                <w:b/>
                <w:color w:val="FFFFFF"/>
              </w:rPr>
              <w:t>Engagement</w:t>
            </w:r>
          </w:p>
        </w:tc>
        <w:tc>
          <w:tcPr>
            <w:tcW w:type="dxa" w:w="4939"/>
            <w:shd w:fill="16304A"/>
          </w:tcPr>
          <w:p>
            <w:r>
              <w:rPr>
                <w:b/>
                <w:color w:val="FFFFFF"/>
              </w:rPr>
              <w:t>Condition</w:t>
            </w:r>
          </w:p>
        </w:tc>
      </w:tr>
      <w:tr>
        <w:tc>
          <w:tcPr>
            <w:tcW w:type="dxa" w:w="4939"/>
          </w:tcPr>
          <w:p>
            <w:r>
              <w:t>1. Patrimonial et financier</w:t>
            </w:r>
          </w:p>
        </w:tc>
        <w:tc>
          <w:tcPr>
            <w:tcW w:type="dxa" w:w="4939"/>
          </w:tcPr>
          <w:p>
            <w:r>
              <w:t>Mobiliser l’equity prudemment, avec LTV bas, taux fixes, stress tests et protection des ménages.</w:t>
            </w:r>
          </w:p>
        </w:tc>
      </w:tr>
      <w:tr>
        <w:tc>
          <w:tcPr>
            <w:tcW w:type="dxa" w:w="4939"/>
          </w:tcPr>
          <w:p>
            <w:r>
              <w:t>2. Budgétaire</w:t>
            </w:r>
          </w:p>
        </w:tc>
        <w:tc>
          <w:tcPr>
            <w:tcW w:type="dxa" w:w="4939"/>
          </w:tcPr>
          <w:p>
            <w:r>
              <w:t>Utiliser le dividende de croissance pour réduire durablement le déficit et stabiliser la dette publique.</w:t>
            </w:r>
          </w:p>
        </w:tc>
      </w:tr>
      <w:tr>
        <w:tc>
          <w:tcPr>
            <w:tcW w:type="dxa" w:w="4939"/>
          </w:tcPr>
          <w:p>
            <w:r>
              <w:t>3. Productif</w:t>
            </w:r>
          </w:p>
        </w:tc>
        <w:tc>
          <w:tcPr>
            <w:tcW w:type="dxa" w:w="4939"/>
          </w:tcPr>
          <w:p>
            <w:r>
              <w:t>Augmenter l’offre française afin que la demande additionnelle devienne production, emploi et investissement plutôt qu’importations et inflation.</w:t>
            </w:r>
          </w:p>
        </w:tc>
      </w:tr>
      <w:tr>
        <w:tc>
          <w:tcPr>
            <w:tcW w:type="dxa" w:w="4939"/>
          </w:tcPr>
          <w:p>
            <w:r>
              <w:t>4. Travail et revenu</w:t>
            </w:r>
          </w:p>
        </w:tc>
        <w:tc>
          <w:tcPr>
            <w:tcW w:type="dxa" w:w="4939"/>
          </w:tcPr>
          <w:p>
            <w:r>
              <w:t>Élever le taux d’emploi, sécuriser les transitions professionnelles et éviter qu’une dette plus longue transforme les accidents de vie en accidents patrimoniaux.</w:t>
            </w:r>
          </w:p>
        </w:tc>
      </w:tr>
    </w:tbl>
    <w:p>
      <w:r>
        <w:t>Le Pacte du Bilan Français n’est donc pas une proposition de relance permanente par la dette. C’est l’hypothèse d’un transfert temporaire de puissance financière : mobiliser davantage le bilan privé afin de donner à la France le temps et les moyens de réparer son bilan public et de renforcer son appareil productif.</w:t>
      </w:r>
    </w:p>
    <w:p>
      <w:r>
        <w:br w:type="page"/>
      </w:r>
    </w:p>
    <w:p>
      <w:pPr>
        <w:pStyle w:val="Heading1"/>
      </w:pPr>
      <w:r>
        <w:t>I. Le paradoxe français</w:t>
      </w:r>
    </w:p>
    <w:p>
      <w:pPr>
        <w:pStyle w:val="Heading2"/>
      </w:pPr>
      <w:r>
        <w:t>Un État endetté dans une nation riche</w:t>
      </w:r>
    </w:p>
    <w:p>
      <w:r>
        <w:t>Le débat français sur les finances publiques commence généralement par la dette de l’État. C’est nécessaire, mais incomplet. Une économie nationale possède plusieurs bilans : État, ménages, entreprises, banques et reste du monde.</w:t>
      </w:r>
    </w:p>
    <w:p>
      <w:r>
        <w:t>La dette publique atteignait 115,6 % du PIB fin 2025. Le déficit annuel représentait encore 152,5 milliards d’euros. Mais les ménages possèdent un immense patrimoine immobilier : les logements et terrains bâtis détenus par eux représentaient environ 8 850 milliards d’euros fin 2024. Face à ce patrimoine, l’encours des crédits à l’habitat des particuliers était de 1 289 milliards d’euros en juillet 2026.</w:t>
      </w:r>
    </w:p>
    <w:p>
      <w:r>
        <w:t>En 2025, 57,4 % des ménages étaient propriétaires de leur résidence principale et 34,9 % de l’ensemble des ménages étaient propriétaires sans charge de remboursement. La France a donc accumulé énormément de capital dans ses murs.</w:t>
      </w:r>
    </w:p>
    <w:p>
      <w:pPr>
        <w:pStyle w:val="Heading2"/>
      </w:pPr>
      <w:r>
        <w:t>Le bilan consolidé : avons-nous optimisé le mauvais bilan ?</w:t>
      </w:r>
    </w:p>
    <w:p>
      <w:r>
        <w:t>Le Pacte invite à regarder non seulement la dette publique, mais l’allocation du levier entre secteurs. Un ménage sans dette et un État très endetté ne forment pas nécessairement, une fois agrégés, la combinaison la plus résiliente ou la plus productive.</w:t>
      </w:r>
    </w:p>
    <w:p>
      <w:r>
        <w:t>Cette observation ne signifie pas que dette publique et dette privée seraient équivalentes. Elles diffèrent par leur débiteur, leur capacité de refinancement, leur distribution, leur risque de défaut, leur rôle macroéconomique et leurs effets redistributifs. Elle signifie seulement que la politique économique peut légitimement s’interroger sur la structure consolidée des actifs et passifs nationaux.</w:t>
      </w:r>
    </w:p>
    <w:p>
      <w:r>
        <w:t>Le nom « Pacte du Bilan Français » vient de cette perspective : il ne s’agit pas seulement d’inventer un prêt, mais de modifier temporairement la manière dont le bilan national absorbe un choc démographique et budgétaire.</w:t>
      </w:r>
    </w:p>
    <w:p>
      <w:pPr>
        <w:pStyle w:val="Heading1"/>
      </w:pPr>
      <w:r>
        <w:t>II. Une fenêtre démographique exceptionnelle</w:t>
      </w:r>
    </w:p>
    <w:p>
      <w:pPr>
        <w:pStyle w:val="Heading2"/>
      </w:pPr>
      <w:r>
        <w:t>2027–2040 : une période singulière</w:t>
      </w:r>
    </w:p>
    <w:p>
      <w:r>
        <w:t>La justification éventuelle du mécanisme repose sur son caractère temporaire. Selon les projections 2026 de l’Insee, la France compterait 40 personnes de 65 ans ou plus pour 100 personnes âgées de 20 à 64 ans en 2026, contre 49 en 2040. Dans le scénario central, la population commencerait à diminuer à partir de 2037.</w:t>
      </w:r>
    </w:p>
    <w:p>
      <w:r>
        <w:t>Les générations qui ont accumulé une partie importante du patrimoine immobilier français entrent progressivement dans la retraite au moment même où la France doit financer le vieillissement, restaurer ses finances publiques, augmenter son taux d’emploi, financer défense et infrastructures, réussir les transitions énergétique et numérique et retrouver davantage de croissance productive.</w:t>
      </w:r>
    </w:p>
    <w:p>
      <w:r>
        <w:t>Une partie du problème démographique et une partie du capital susceptible de financer la transition se trouvent donc dans les mêmes générations.</w:t>
      </w:r>
    </w:p>
    <w:p>
      <w:pPr>
        <w:pStyle w:val="Heading1"/>
      </w:pPr>
      <w:r>
        <w:t>III. La proposition financière</w:t>
      </w:r>
    </w:p>
    <w:p>
      <w:pPr>
        <w:pStyle w:val="Heading2"/>
      </w:pPr>
      <w:r>
        <w:t>Un cadre, avant d’être un produit</w:t>
      </w:r>
    </w:p>
    <w:p>
      <w:r>
        <w:t>Le papier principal défend d’abord un mécanisme économique. Le produit bancaire précis doit rester une variable de conception. Une architecture possible serait un crédit hypothécaire résidentiel de très long terme, principalement à taux fixe, avec amortissement du principal facultatif ou différé.</w:t>
      </w:r>
    </w:p>
    <w:p>
      <w:r>
        <w:t>Un propriétaire pourrait emprunter contre son logement jusqu’à une limite conservatrice de valeur — par exemple 40 à 50 % de LTV total. Le capital pourrait être remboursé volontairement, conservé jusqu’à la vente, réduit lors d’un downsizing, refinancé sous conditions ou soldé lors de la succession.</w:t>
      </w:r>
    </w:p>
    <w:p>
      <w:r>
        <w:t>La France possède déjà une culture du taux fixe particulièrement forte : 99,4 % des nouveaux crédits à l’habitat étaient à taux fixe en juillet 2026. Cette caractéristique est un atout important pour éviter de transformer un risque patrimonial en risque massif de taux.</w:t>
      </w:r>
    </w:p>
    <w:p>
      <w:pPr>
        <w:pStyle w:val="Heading2"/>
      </w:pPr>
      <w:r>
        <w:t>Garde-fous microprudentiels</w:t>
      </w:r>
    </w:p>
    <w:p>
      <w:r>
        <w:t>Le système devrait combiner LTV maximum, capacité de service des intérêts, stress tests, valorisations indépendantes, transparence sur les conséquences patrimoniales, protections en cas d’accident de vie, règles spécifiques après la retraite et surveillance macroprudentielle.</w:t>
      </w:r>
    </w:p>
    <w:p>
      <w:r>
        <w:t>Un plafond de 50 % constitue un coussin patrimonial important : un logement financé à 50 % LTV dont la valeur baisse de 30 % passe à environ 71 % LTV. Cela ne supprime ni le risque de défaut ni le risque systémique, mais diffère radicalement d’un système qui entrerait à 90 ou 100 % LTV.</w:t>
      </w:r>
    </w:p>
    <w:p>
      <w:pPr>
        <w:pStyle w:val="Heading1"/>
      </w:pPr>
      <w:r>
        <w:t>IV. L’ordre de grandeur — réservoir, scénario, objectif</w:t>
      </w:r>
    </w:p>
    <w:p>
      <w:pPr>
        <w:pStyle w:val="Heading2"/>
      </w:pPr>
      <w:r>
        <w:t>Ne pas confondre capacité théorique et trajectoire souhaitable</w:t>
      </w:r>
    </w:p>
    <w:p>
      <w:r>
        <w:t>À titre illustratif, 50 % de 8 850 milliards d’euros représente environ 4 425 milliards d’euros de dette garantie potentielle. Comparé aux 1 289 milliards d’euros de crédits habitat existants, l’écart arithmétique dépasse 3 000 milliards d’euros.</w:t>
      </w:r>
    </w:p>
    <w:p>
      <w:r>
        <w:t>Ce chiffre n’est ni un objectif, ni une prévision, ni même une capacité effectivement mobilisable : les périmètres statistiques diffèrent, tous les biens ne sont pas éligibles, tous les propriétaires ne sont pas solvables et la contrainte pertinente est autant le revenu que le collatéral.</w:t>
      </w:r>
    </w:p>
    <w:p>
      <w:r>
        <w:t>Un scénario de travail de 500 à 700 milliards d’euros étalés sur plusieurs années doit donc être présenté comme une hypothèse à tester, pas comme un montant optimal déjà démontré. L’enjeu de la modélisation est précisément de dériver une trajectoire compatible avec l’offre, l’inflation, les importations, le système bancaire et la stabilité immobilière.</w:t>
      </w:r>
    </w:p>
    <w:p>
      <w:pPr>
        <w:pStyle w:val="Heading1"/>
      </w:pPr>
      <w:r>
        <w:t>V. La chaîne de transmission macroéconomique</w:t>
      </w:r>
    </w:p>
    <w:p>
      <w:pPr>
        <w:pStyle w:val="Heading2"/>
      </w:pPr>
      <w:r>
        <w:t>De l’equity au PIB : chaque flèche doit être mesurée</w:t>
      </w:r>
    </w:p>
    <w:p>
      <w:r>
        <w:t>Le cœur empirique du Pacte n’est pas le volume brut de crédit. C’est la chaîne de transmission : equity immobilière → crédit nouveau → dépôts → utilisation des fonds → dépense additionnelle → part domestique → réaction de l’offre → PIB réel et nominal → recettes publiques → déficit → dette/PIB.</w:t>
      </w:r>
    </w:p>
    <w:p>
      <w:r>
        <w:t>Chaque flèche peut casser. Une partie des fonds peut être épargnée, investie dans des actifs existants, dépensée à l’étranger ou capitalisée dans les prix immobiliers. Une demande domestique plus forte peut aussi rencontrer une offre rigide et devenir inflation.</w:t>
      </w:r>
    </w:p>
    <w:p>
      <w:r>
        <w:t>Le modèle doit donc estimer au minimum : taux d’adoption, propension à dépenser, propension à investir, taux d’épargne, contenu importé, multiplicateur domestique, élasticité de l’offre, inflation, effet sur l’emploi, recettes fiscales et bilan bancaire.</w:t>
      </w:r>
    </w:p>
    <w:p>
      <w:pPr>
        <w:pStyle w:val="Heading2"/>
      </w:pPr>
      <w:r>
        <w:t>La création monétaire n’est pas la création de richesse</w:t>
      </w:r>
    </w:p>
    <w:p>
      <w:r>
        <w:t>Lorsqu’une banque octroie un crédit, elle crée simultanément un actif bancaire et, généralement, un dépôt correspondant. Cette création de liquidité ne devient richesse réelle que si l’économie transforme la demande qu’elle permet en davantage de production, de capital, de compétences ou d’utilité.</w:t>
      </w:r>
    </w:p>
    <w:p>
      <w:r>
        <w:t>Le Pacte doit donc être jugé non sur la monnaie créée, mais sur la qualité de sa transformation.</w:t>
      </w:r>
    </w:p>
    <w:p>
      <w:pPr>
        <w:pStyle w:val="Heading1"/>
      </w:pPr>
      <w:r>
        <w:t>VI. La combinaison centrale : rigueur publique, expansion privée</w:t>
      </w:r>
    </w:p>
    <w:p>
      <w:pPr>
        <w:pStyle w:val="Heading2"/>
      </w:pPr>
      <w:r>
        <w:t>Découpler consolidation budgétaire et contraction de la demande</w:t>
      </w:r>
    </w:p>
    <w:p>
      <w:r>
        <w:t>Une consolidation budgétaire classique réduit généralement une composante de la demande. Le Pacte cherche à dissocier partiellement contraction du déficit public et contraction de la demande nationale.</w:t>
      </w:r>
    </w:p>
    <w:p>
      <w:r>
        <w:t>L’État pourrait réduire progressivement son déficit pendant qu’une expansion contrôlée du crédit privé soutient une partie de la consommation et de l’investissement. La condition est que l’offre productive réponde et que l’impulsion privée ne devienne pas une substitution permanente au déficit public.</w:t>
      </w:r>
    </w:p>
    <w:p>
      <w:pPr>
        <w:pStyle w:val="Heading2"/>
      </w:pPr>
      <w:r>
        <w:t>Le Pacte Spread</w:t>
      </w:r>
    </w:p>
    <w:p>
      <w:r>
        <w:t>Pour rendre la discipline budgétaire observable, la V2 introduit un indicateur simple : Pacte Spread = croissance nominale du PIB − croissance nominale des dépenses publiques.</w:t>
      </w:r>
    </w:p>
    <w:p>
      <w:r>
        <w:t>Un Pacte Spread durablement positif signifie que les dépenses publiques augmentent moins vite que la base économique qui les finance. Il ne remplace ni le solde primaire, ni la charge d’intérêt, ni l’analyse structurelle des dépenses ; il sert de règle de lecture publique du rééquilibrage.</w:t>
      </w:r>
    </w:p>
    <w:p>
      <w:r>
        <w:t>Exemple purement illustratif : si le PIB nominal progresse de 3,5 % par an et les dépenses publiques de 2,0 %, le poids relatif des dépenses publiques diminue progressivement. La croissance nominale ne doit cependant jamais servir à masquer une absence de réforme réelle.</w:t>
      </w:r>
    </w:p>
    <w:p>
      <w:pPr>
        <w:pStyle w:val="Heading1"/>
      </w:pPr>
      <w:r>
        <w:t>VII. Le contrat avec l’État</w:t>
      </w:r>
    </w:p>
    <w:p>
      <w:pPr>
        <w:pStyle w:val="Heading2"/>
      </w:pPr>
      <w:r>
        <w:t>Le dividende de croissance ne doit pas devenir une nouvelle dépense structurelle</w:t>
      </w:r>
    </w:p>
    <w:p>
      <w:r>
        <w:t>Une augmentation du PIB nominal peut générer davantage de TVA, cotisations, impôt sur le revenu, impôt sur les sociétés et autres recettes. Si ces recettes supplémentaires deviennent immédiatement des dépenses permanentes, la France aura augmenté l’endettement des ménages sans réparer son bilan public.</w:t>
      </w:r>
    </w:p>
    <w:p>
      <w:r>
        <w:t>Le Pacte exige donc une règle pluriannuelle explicite : une part très importante des recettes supérieures à une trajectoire de référence doit être affectée à la réduction du déficit et, une fois l’équilibre primaire atteint, à la stabilisation puis à la réduction du ratio de dette.</w:t>
      </w:r>
    </w:p>
    <w:p>
      <w:r>
        <w:t>Cette règle est constitutive du Pacte. Sans elle, le mécanisme patrimonial perd sa justification macroéconomique.</w:t>
      </w:r>
    </w:p>
    <w:p>
      <w:pPr>
        <w:pStyle w:val="Heading1"/>
      </w:pPr>
      <w:r>
        <w:t>VIII. Le Pacte productif : produire ce que les Français vont acheter</w:t>
      </w:r>
    </w:p>
    <w:p>
      <w:pPr>
        <w:pStyle w:val="Heading2"/>
      </w:pPr>
      <w:r>
        <w:t>Le choc d’offre est la condition de survie du choc de demande</w:t>
      </w:r>
    </w:p>
    <w:p>
      <w:r>
        <w:t>Créer plusieurs centaines de milliards d’euros de capacité financière sans augmenter l’offre française serait dangereux. Une partie financerait les importations ; une autre se transformerait en inflation ou en hausse des actifs existants.</w:t>
      </w:r>
    </w:p>
    <w:p>
      <w:r>
        <w:t>Le Pacte doit donc accélérer la capacité française dans le logement, la rénovation énergétique, l’énergie, les transports, les services à la personne, la santé, le tourisme, les loisirs, l’industrie, le numérique, l’éducation, la formation, l’entrepreneuriat et les infrastructures.</w:t>
      </w:r>
    </w:p>
    <w:p>
      <w:r>
        <w:t>Le choix du consommateur doit rester libre. L’objectif n’est pas d’administrer la dépense, mais d’augmenter la probabilité qu’un euro supplémentaire dépensé en France devienne le revenu, l’investissement ou le salaire d’un autre acteur économique situé en France.</w:t>
      </w:r>
    </w:p>
    <w:p>
      <w:pPr>
        <w:pStyle w:val="Heading1"/>
      </w:pPr>
      <w:r>
        <w:t>IX. Le Pacte du travail</w:t>
      </w:r>
    </w:p>
    <w:p>
      <w:pPr>
        <w:pStyle w:val="Heading2"/>
      </w:pPr>
      <w:r>
        <w:t>Le plein emploi devient une infrastructure financière</w:t>
      </w:r>
    </w:p>
    <w:p>
      <w:r>
        <w:t>Une société où les ménages conservent davantage de dette immobilière pendant leur vie devient plus dépendante du revenu. Dans l’ancien modèle patrimonial : travail → emprunt → remboursement → maison sans dette → retraite. Dans le nouveau : travail → acquisition → equity → mobilisation partielle → dette résiduelle → adaptation patrimoniale à la retraite.</w:t>
      </w:r>
    </w:p>
    <w:p>
      <w:r>
        <w:t>Le plein emploi cesse donc d’être uniquement un objectif social. Il devient une infrastructure financière du Pacte. Une France plus endettée privativement doit simultanément améliorer taux d’emploi, emploi des seniors, mobilité professionnelle, formation continue, retour rapide à l’emploi et productivité.</w:t>
      </w:r>
    </w:p>
    <w:p>
      <w:r>
        <w:t>Le risque à éviter est simple : transformer des propriétaires financièrement sécurisés en propriétaires âgés surendettés.</w:t>
      </w:r>
    </w:p>
    <w:p>
      <w:pPr>
        <w:pStyle w:val="Heading1"/>
      </w:pPr>
      <w:r>
        <w:t>X. Un nouveau cycle de vie patrimonial</w:t>
      </w:r>
    </w:p>
    <w:p>
      <w:pPr>
        <w:pStyle w:val="Heading2"/>
      </w:pPr>
      <w:r>
        <w:t>De la maison-coffre à l’actif de cycle de vie</w:t>
      </w:r>
    </w:p>
    <w:p>
      <w:r>
        <w:t>Aujourd’hui, l’objectif implicite de nombreux ménages est : « À la retraite, ma maison doit être entièrement payée. » Le Pacte rend possible une autre norme : conserver suffisamment d’equity pour assurer sa sécurité, tout en permettant à une fraction du capital immobilier de travailler pendant la vie.</w:t>
      </w:r>
    </w:p>
    <w:p>
      <w:r>
        <w:t>Un ménage pourrait disposer de davantage de ressources à 40–60 ans, lorsque les dépenses familiales et les opportunités d’investissement sont importantes, puis arriver à 70 ans avec une dette résiduelle et arbitrer entre conservation, remboursement, vente, downsizing ou transmission d’un actif grevé.</w:t>
      </w:r>
    </w:p>
    <w:p>
      <w:r>
        <w:t>Ce changement augmente potentiellement la liberté économique pendant la vie active, mais réduit une forme traditionnelle de sécurité patrimoniale à la retraite. Il doit être présenté comme tel.</w:t>
      </w:r>
    </w:p>
    <w:p>
      <w:pPr>
        <w:pStyle w:val="Heading1"/>
      </w:pPr>
      <w:r>
        <w:t>XI. Le downsizing doit devenir normal</w:t>
      </w:r>
    </w:p>
    <w:p>
      <w:pPr>
        <w:pStyle w:val="Heading2"/>
      </w:pPr>
      <w:r>
        <w:t>Une infrastructure immobilière du vieillissement</w:t>
      </w:r>
    </w:p>
    <w:p>
      <w:r>
        <w:t>Une famille peut avoir besoin de 150 m² à 45 ans et de 80 m² à 75 ans. Le Pacte rendrait plus naturel le passage du premier au second, mais seulement si l’offre de logements adaptés, accessibles et bien situés existe et si les coûts de transaction ne bloquent pas la mobilité.</w:t>
      </w:r>
    </w:p>
    <w:p>
      <w:r>
        <w:t>Le downsizing n’est donc pas un détail comportemental : c’est un mécanisme de déleveraging tardif et une source potentielle de remise sur le marché de logements familiaux.</w:t>
      </w:r>
    </w:p>
    <w:p>
      <w:pPr>
        <w:pStyle w:val="Heading1"/>
      </w:pPr>
      <w:r>
        <w:t>XII. L’héritage change également</w:t>
      </w:r>
    </w:p>
    <w:p>
      <w:pPr>
        <w:pStyle w:val="Heading2"/>
      </w:pPr>
      <w:r>
        <w:t>Faire circuler le capital plus tôt</w:t>
      </w:r>
    </w:p>
    <w:p>
      <w:r>
        <w:t>Le Pacte peut accélérer la circulation intergénérationnelle du patrimoine. Un parent de 60 ans pourrait mobiliser une fraction de sa maison pour aider un enfant de 30 ans à acheter, entreprendre, se former ou financer un projet.</w:t>
      </w:r>
    </w:p>
    <w:p>
      <w:r>
        <w:t>Le patrimoine transmis au décès serait alors inférieur, mais une partie du capital aurait été utilisée lorsque sa valeur économique marginale pour la génération suivante était potentiellement plus élevée.</w:t>
      </w:r>
    </w:p>
    <w:p>
      <w:r>
        <w:t>La question de société devient explicite : vaut-il mieux transmettre davantage tard, ou permettre une transmission partielle plus tôt ? Le Pacte ne tranche pas ce choix ; il l’élargit.</w:t>
      </w:r>
    </w:p>
    <w:p>
      <w:pPr>
        <w:pStyle w:val="Heading1"/>
      </w:pPr>
      <w:r>
        <w:t>XIII. Immobilier : appréciation souhaitable, bulle dangereuse</w:t>
      </w:r>
    </w:p>
    <w:p>
      <w:pPr>
        <w:pStyle w:val="Heading2"/>
      </w:pPr>
      <w:r>
        <w:t>La boucle collatérale doit être cassable</w:t>
      </w:r>
    </w:p>
    <w:p>
      <w:r>
        <w:t>Une capacité de financement plus élevée exercerait probablement une pression haussière sur les prix, toutes choses égales par ailleurs. Une appréciation nominale modérée peut renforcer l’equity ; une boucle prix → collatéral → crédit → demande → prix peut au contraire produire une bulle.</w:t>
      </w:r>
    </w:p>
    <w:p>
      <w:r>
        <w:t>Le Pacte ne doit jamais promettre une hausse des prix. Les autorités doivent pouvoir ralentir la production, réduire les LTV ou durcir les contraintes de revenu si les prix se déconnectent des revenus, des loyers, de la construction ou des fondamentaux locaux.</w:t>
      </w:r>
    </w:p>
    <w:p>
      <w:r>
        <w:t>L’accès au logement des non-propriétaires et des jeunes générations doit être un indicateur de stabilité du Pacte, pas une externalité.</w:t>
      </w:r>
    </w:p>
    <w:p>
      <w:pPr>
        <w:pStyle w:val="Heading1"/>
      </w:pPr>
      <w:r>
        <w:t>XIV. Immigration, démographie et capacité productive</w:t>
      </w:r>
    </w:p>
    <w:p>
      <w:pPr>
        <w:pStyle w:val="Heading2"/>
      </w:pPr>
      <w:r>
        <w:t>La question pertinente est la population active</w:t>
      </w:r>
    </w:p>
    <w:p>
      <w:r>
        <w:t>La démographie ne peut être absente du Pacte. L’immigration peut augmenter population active, demande, recettes fiscales et capacité productive, mais ses effets dépendent des profils, de l’emploi, de l’intégration et de l’offre de logement.</w:t>
      </w:r>
    </w:p>
    <w:p>
      <w:r>
        <w:t>Le Pacte ne doit donc pas définir l’immigration comme un instrument immobilier. La question économique est : de quelle population active la France a-t-elle besoin pour produire, travailler, entreprendre et financer son modèle social entre 2027 et 2040 ?</w:t>
      </w:r>
    </w:p>
    <w:p>
      <w:r>
        <w:t>L’immigration économique est une réponse possible parmi d’autres : emploi des seniors, hausse du taux d’activité, formation, automatisation et productivité.</w:t>
      </w:r>
    </w:p>
    <w:p>
      <w:pPr>
        <w:pStyle w:val="Heading1"/>
      </w:pPr>
      <w:r>
        <w:t>XV. Le secteur bancaire français comme infrastructure stratégique</w:t>
      </w:r>
    </w:p>
    <w:p>
      <w:pPr>
        <w:pStyle w:val="Heading2"/>
      </w:pPr>
      <w:r>
        <w:t>Une expansion de bilan qui doit rester finançable</w:t>
      </w:r>
    </w:p>
    <w:p>
      <w:r>
        <w:t>Le Pacte augmenterait les bilans bancaires. Les banques transformeraient davantage de patrimoine immobilier en actifs financiers, avec des besoins nouveaux de refinancement, obligations sécurisées, assurance, gestion actif-passif, marchés de capitaux, services patrimoniaux et outils de risque.</w:t>
      </w:r>
    </w:p>
    <w:p>
      <w:r>
        <w:t>Mais la contrainte ne se limite pas à la solvabilité des ménages. Il faut modéliser capital bancaire, liquidité, concentration immobilière, coût du refinancement, maturité actif-passif et capacité du système à absorber un stress simultané sur emploi, prix immobiliers et taux.</w:t>
      </w:r>
    </w:p>
    <w:p>
      <w:r>
        <w:t>Le développement financier n’est souhaitable que s’il augmente la capacité d’allocation du capital sans socialiser les pertes.</w:t>
      </w:r>
    </w:p>
    <w:p>
      <w:pPr>
        <w:pStyle w:val="Heading1"/>
      </w:pPr>
      <w:r>
        <w:t>XVI. La silver bullet</w:t>
      </w:r>
    </w:p>
    <w:p>
      <w:pPr>
        <w:pStyle w:val="Heading2"/>
      </w:pPr>
      <w:r>
        <w:t>La dérivée du crédit, pas son niveau, crée l’impulsion</w:t>
      </w:r>
    </w:p>
    <w:p>
      <w:r>
        <w:t>Le point le plus important est que le mécanisme n’est pas renouvelable indéfiniment. Une hausse de plusieurs centaines de milliards de l’encours entre 2027 et 2035 produit une impulsion pendant la montée en charge. Une fois le nouveau niveau atteint, seule une nouvelle accélération du crédit pourrait reproduire le même effet.</w:t>
      </w:r>
    </w:p>
    <w:p>
      <w:r>
        <w:t>Le système ne peut donc maintenir artificiellement la croissance en augmentant continuellement le LTV. Sinon, la réforme devient une pyramide de dette.</w:t>
      </w:r>
    </w:p>
    <w:p>
      <w:r>
        <w:t>Le Pacte doit contenir dès son lancement sa stratégie de sortie. Sa réussite se mesure précisément au fait que l’économie n’ait plus besoin d’une nouvelle accélération.</w:t>
      </w:r>
    </w:p>
    <w:p>
      <w:pPr>
        <w:pStyle w:val="Heading1"/>
      </w:pPr>
      <w:r>
        <w:t>XVII. 2027–2040 : trois phases</w:t>
      </w:r>
    </w:p>
    <w:p>
      <w:pPr>
        <w:pStyle w:val="Heading2"/>
      </w:pPr>
      <w:r>
        <w:t>Phase I — 2027–2030 : ouverture contrôlée</w:t>
      </w:r>
    </w:p>
    <w:p>
      <w:r>
        <w:t>Création juridique du cadre, plafond initial prudent, expérimentation et montée progressive. Surveillance trimestrielle du crédit, de la destination des fonds, de la consommation, des importations, de l’inflation, des prix immobiliers, des défauts, des LTV, de l’emploi et des recettes publiques.</w:t>
      </w:r>
    </w:p>
    <w:p>
      <w:r>
        <w:t>Simultanément : consolidation budgétaire, réformes d’offre, construction, emploi, investissement et capacité productive.</w:t>
      </w:r>
    </w:p>
    <w:p>
      <w:pPr>
        <w:pStyle w:val="Heading2"/>
      </w:pPr>
      <w:r>
        <w:t>Phase II — 2030–2035 : transformation</w:t>
      </w:r>
    </w:p>
    <w:p>
      <w:r>
        <w:t>La mobilisation du patrimoine peut atteindre son rythme maximal uniquement si les indicateurs montrent que l’impulsion produit autre chose que consommation importée et inflation patrimoniale.</w:t>
      </w:r>
    </w:p>
    <w:p>
      <w:r>
        <w:t>Les indicateurs déterminants deviennent : taux d’emploi, investissement privé, créations d’entreprises, productivité, capacité industrielle, construction, exportations, déficit structurel, dette publique/PIB et Pacte Spread.</w:t>
      </w:r>
    </w:p>
    <w:p>
      <w:pPr>
        <w:pStyle w:val="Heading2"/>
      </w:pPr>
      <w:r>
        <w:t>Phase III — 2035–2040 : sortie de l’impulsion</w:t>
      </w:r>
    </w:p>
    <w:p>
      <w:r>
        <w:t>La croissance de l’encours hypothécaire doit volontairement ralentir. Le test devient brutal : l’économie française peut-elle continuer à croître lorsque l’accélérateur patrimonial est relâché ? Si oui, le Pacte a servi de pont. Sinon, il a principalement déplacé le levier.</w:t>
      </w:r>
    </w:p>
    <w:p>
      <w:pPr>
        <w:pStyle w:val="Heading1"/>
      </w:pPr>
      <w:r>
        <w:t>XVIII. Le test de réussite en 2040</w:t>
      </w:r>
    </w:p>
    <w:p>
      <w:pPr>
        <w:pStyle w:val="Heading2"/>
      </w:pPr>
      <w:r>
        <w:t>Ce qui doit rester quand le crédit ralentit</w:t>
      </w:r>
    </w:p>
    <w:p>
      <w:r>
        <w:t>Le Pacte ne doit pas être évalué sur le montant de crédit distribué. Une réussite signifierait en 2040 : finances publiques restaurées ; population davantage employée ; économie plus productive ; système financier plus profond et résilient ; marché immobilier plus liquide ; capital circulant mieux entre générations ; et économie capable de fonctionner sans nouvelle accélération de la dette.</w:t>
      </w:r>
    </w:p>
    <w:p>
      <w:r>
        <w:t>Ce dernier critère domine tous les autres.</w:t>
      </w:r>
    </w:p>
    <w:p>
      <w:pPr>
        <w:pStyle w:val="Heading1"/>
      </w:pPr>
      <w:r>
        <w:t>XIX. Les principaux risques</w:t>
      </w:r>
    </w:p>
    <w:p>
      <w:pPr>
        <w:pStyle w:val="Heading2"/>
      </w:pPr>
      <w:r>
        <w:t>Douze voies d’échec</w:t>
      </w:r>
    </w:p>
    <w:p>
      <w:r>
        <w:t>Le projet peut échouer par bulle immobilière, inégalités patrimoniales, fracture générationnelle, surendettement tardif, dépendance excessive au travail, inflation, importations, risque bancaire, risque de taux, aléa politique, dépendance permanente au crédit ou illusion de richesse.</w:t>
      </w:r>
    </w:p>
    <w:p>
      <w:r>
        <w:t>Ces risques ne sont pas des notes de bas de page. Ils constituent les variables de contrôle du dispositif. Un Pacte incapable de s’arrêter lorsque l’un d’eux se matérialise n’est pas un pacte prudentiel.</w:t>
      </w:r>
    </w:p>
    <w:p>
      <w:pPr>
        <w:pStyle w:val="Heading1"/>
      </w:pPr>
      <w:r>
        <w:t>XX. Les garde-fous et règles d’arrêt</w:t>
      </w:r>
    </w:p>
    <w:p>
      <w:pPr>
        <w:pStyle w:val="Heading2"/>
      </w:pPr>
      <w:r>
        <w:t>Une architecture prudente</w:t>
      </w:r>
    </w:p>
    <w:p>
      <w:r>
        <w:t>Parmi les garde-fous à tester : LTV total ≤ 40–50 % ; taux fixe ou protection forte ; stress-test du service des intérêts ; pas de refinancement automatique fondé uniquement sur l’appréciation ; valorisations indépendantes ; suivi du LTV consolidé ; protections chômage/maladie/décès ; information sur le patrimoine net futur ; scénario retraite avant refinancement ; pouvoir macroprudentiel de modifier les limites ; tableau de bord trimestriel ; plafond annuel de croissance de l’encours.</w:t>
      </w:r>
    </w:p>
    <w:p>
      <w:r>
        <w:t>À cela la V2 ajoute une logique de « kill switches » : si plusieurs seuils prédéfinis sont franchis — inflation persistante, importations excessives, accélération anormale des prix immobiliers, dégradation des défauts, Pacte Spread négatif persistant, ou insuffisance manifeste de l’investissement productif — la montée en charge doit être automatiquement ralentie ou suspendue.</w:t>
      </w:r>
    </w:p>
    <w:p>
      <w:r>
        <w:t>Et surtout : aucune promesse politique selon laquelle les prix immobiliers ne peuvent pas baisser. Le système doit survivre à une baisse importante.</w:t>
      </w:r>
    </w:p>
    <w:p>
      <w:pPr>
        <w:pStyle w:val="Heading1"/>
      </w:pPr>
      <w:r>
        <w:t>XXI. Ce que la France a déjà essayé</w:t>
      </w:r>
    </w:p>
    <w:p>
      <w:pPr>
        <w:pStyle w:val="Heading2"/>
      </w:pPr>
      <w:r>
        <w:t>L’hypothèque rechargeable : précédent utile, non modèle à recopier</w:t>
      </w:r>
    </w:p>
    <w:p>
      <w:r>
        <w:t>La France a introduit en 2006 l’hypothèque rechargeable, qui permettait d’utiliser une hypothèque pour garantir de nouvelles créances. Les dispositions applicables aux particuliers ont été abrogées par la loi du 17 mars 2014.</w:t>
      </w:r>
    </w:p>
    <w:p>
      <w:r>
        <w:t>Ce précédent montre que le concept juridique n’est pas étranger à la France, mais il ne valide pas le Pacte. Il faut étudier précisément son adoption, ses usages, les raisons de sa faible diffusion et les préoccupations de protection des emprunteurs qui ont conduit à son abandon.</w:t>
      </w:r>
    </w:p>
    <w:p>
      <w:r>
        <w:t>Le Pacte se distingue par son ambition macroéconomique : l’instrument financier ne serait acceptable que comme composante d’une consolidation publique et d’une transformation productive coordonnées.</w:t>
      </w:r>
    </w:p>
    <w:p>
      <w:pPr>
        <w:pStyle w:val="Heading1"/>
      </w:pPr>
      <w:r>
        <w:t>XXII. Une hypothèse falsifiable</w:t>
      </w:r>
    </w:p>
    <w:p>
      <w:pPr>
        <w:pStyle w:val="Heading2"/>
      </w:pPr>
      <w:r>
        <w:t>Le programme de preuve</w:t>
      </w:r>
    </w:p>
    <w:p>
      <w:r>
        <w:t>Le projet ne doit pas devenir une croyance politique. Avant tout déploiement national, un modèle doit simuler plusieurs scénarios d’adoption et plusieurs hypothèses de propension à consommer, épargne, importations, investissement, multiplicateur domestique, inflation, prix immobiliers, construction, taux, défauts, recettes fiscales, dépenses sociales, bilan bancaire, déficit public, dette publique et dette des ménages.</w:t>
      </w:r>
    </w:p>
    <w:p>
      <w:r>
        <w:t>Un scénario défavorable doit combiner au minimum récession, hausse du chômage, baisse immobilière de 30 % et taux durablement élevés. Si le système bancaire et une proportion acceptable des ménages ne peuvent pas survivre à ce scénario, le dispositif est trop agressif.</w:t>
      </w:r>
    </w:p>
    <w:p>
      <w:r>
        <w:t>Une expérimentation graduelle doit être conçue de façon à produire de l’information : cohortes, plafonds, données anonymisées, comparaison territoriale et publication des résultats. Le droit d’arrêter doit être aussi explicite que le droit de lancer.</w:t>
      </w:r>
    </w:p>
    <w:p>
      <w:pPr>
        <w:pStyle w:val="Heading1"/>
      </w:pPr>
      <w:r>
        <w:t>XXIII. Le contrat social derrière le mécanisme financier</w:t>
      </w:r>
    </w:p>
    <w:p>
      <w:pPr>
        <w:pStyle w:val="Heading2"/>
      </w:pPr>
      <w:r>
        <w:t>Un nouveau pacte patrimonial</w:t>
      </w:r>
    </w:p>
    <w:p>
      <w:r>
        <w:t>Pendant plusieurs générations, le contrat implicite a été : travaillez, achetez votre maison, remboursez-la, épargnez, arrivez à la retraite sans dette, transmettez votre patrimoine.</w:t>
      </w:r>
    </w:p>
    <w:p>
      <w:r>
        <w:t>Le nouveau contrat pourrait devenir : construisez votre patrimoine, mais ne considérez pas nécessairement votre maison comme du capital inaccessible ; utilisez prudemment une partie de sa valeur lorsqu’elle peut améliorer votre vie ou financer l’économie ; conservez toujours un coussin patrimonial ; acceptez éventuellement de réduire votre patrimoine immobilier à la retraite ; transmettez plus tôt et peut-être moins au décès ; et exigez en échange d’une société plus dépendante du revenu qu’elle rende le travail accessible, productif et rémunérateur.</w:t>
      </w:r>
    </w:p>
    <w:p>
      <w:r>
        <w:t>Ce n’est pas une simple innovation bancaire. C’est un nouveau pacte social patrimonial.</w:t>
      </w:r>
    </w:p>
    <w:p>
      <w:pPr>
        <w:pStyle w:val="Heading1"/>
      </w:pPr>
      <w:r>
        <w:t>XXIV. Pourquoi maintenant ?</w:t>
      </w:r>
    </w:p>
    <w:p>
      <w:pPr>
        <w:pStyle w:val="Heading2"/>
      </w:pPr>
      <w:r>
        <w:t>Une circonstance exceptionnelle</w:t>
      </w:r>
    </w:p>
    <w:p>
      <w:r>
        <w:t>La France approche simultanément de la fin de la transition du baby-boom vers la retraite, d’une période de déficits structurels difficiles à maintenir, d’un vieillissement accéléré jusqu’à environ 2040, d’un possible retournement démographique, d’investissements massifs dans l’énergie, la défense, le numérique et les infrastructures, et d’un stock exceptionnel de patrimoine privé largement immobilisé.</w:t>
      </w:r>
    </w:p>
    <w:p>
      <w:r>
        <w:t>Le raisonnement n’est pas : « nous avons trouvé une nouvelle manière de nous endetter ». Il est : « nous disposons d’un capital accumulé pendant plusieurs générations et d’une fenêtre d’environ quinze ans pour transformer notre économie ; faut-il en mobiliser prudemment une fraction maintenant ? »</w:t>
      </w:r>
    </w:p>
    <w:p>
      <w:pPr>
        <w:pStyle w:val="Heading1"/>
      </w:pPr>
      <w:r>
        <w:t>XXV. Les quatre engagements du Pacte</w:t>
      </w:r>
    </w:p>
    <w:p>
      <w:pPr>
        <w:pStyle w:val="Heading2"/>
      </w:pPr>
      <w:r>
        <w:t>Une architecture indivisible</w:t>
      </w:r>
    </w:p>
    <w:p>
      <w:r>
        <w:t>Le mécanisme patrimonial ne doit jamais être évalué seul. Les quatre engagements sont contractuels et symétriques.</w:t>
      </w:r>
    </w:p>
    <w:tbl>
      <w:tblPr>
        <w:tblStyle w:val="TableGrid"/>
        <w:tblW w:type="auto" w:w="0"/>
        <w:jc w:val="center"/>
        <w:tblLook w:firstColumn="1" w:firstRow="1" w:lastColumn="0" w:lastRow="0" w:noHBand="0" w:noVBand="1" w:val="04A0"/>
      </w:tblPr>
      <w:tblGrid>
        <w:gridCol w:w="2469"/>
        <w:gridCol w:w="2469"/>
        <w:gridCol w:w="2469"/>
        <w:gridCol w:w="2469"/>
      </w:tblGrid>
      <w:tr>
        <w:tc>
          <w:tcPr>
            <w:tcW w:type="dxa" w:w="2469"/>
            <w:shd w:fill="16304A"/>
          </w:tcPr>
          <w:p>
            <w:r>
              <w:rPr>
                <w:b/>
                <w:color w:val="FFFFFF"/>
              </w:rPr>
              <w:t>Engagement</w:t>
            </w:r>
          </w:p>
        </w:tc>
        <w:tc>
          <w:tcPr>
            <w:tcW w:type="dxa" w:w="2469"/>
            <w:shd w:fill="16304A"/>
          </w:tcPr>
          <w:p>
            <w:r>
              <w:rPr>
                <w:b/>
                <w:color w:val="FFFFFF"/>
              </w:rPr>
              <w:t>Variable centrale</w:t>
            </w:r>
          </w:p>
        </w:tc>
        <w:tc>
          <w:tcPr>
            <w:tcW w:type="dxa" w:w="2469"/>
            <w:shd w:fill="16304A"/>
          </w:tcPr>
          <w:p>
            <w:r>
              <w:rPr>
                <w:b/>
                <w:color w:val="FFFFFF"/>
              </w:rPr>
              <w:t>Obligation</w:t>
            </w:r>
          </w:p>
        </w:tc>
        <w:tc>
          <w:tcPr>
            <w:tcW w:type="dxa" w:w="2469"/>
            <w:shd w:fill="16304A"/>
          </w:tcPr>
          <w:p>
            <w:r>
              <w:rPr>
                <w:b/>
                <w:color w:val="FFFFFF"/>
              </w:rPr>
              <w:t>Signal d’échec</w:t>
            </w:r>
          </w:p>
        </w:tc>
      </w:tr>
      <w:tr>
        <w:tc>
          <w:tcPr>
            <w:tcW w:type="dxa" w:w="2469"/>
          </w:tcPr>
          <w:p>
            <w:r>
              <w:t>Patrimonial</w:t>
            </w:r>
          </w:p>
        </w:tc>
        <w:tc>
          <w:tcPr>
            <w:tcW w:type="dxa" w:w="2469"/>
          </w:tcPr>
          <w:p>
            <w:r>
              <w:t>LTV / service dette</w:t>
            </w:r>
          </w:p>
        </w:tc>
        <w:tc>
          <w:tcPr>
            <w:tcW w:type="dxa" w:w="2469"/>
          </w:tcPr>
          <w:p>
            <w:r>
              <w:t>Prudence + protection</w:t>
            </w:r>
          </w:p>
        </w:tc>
        <w:tc>
          <w:tcPr>
            <w:tcW w:type="dxa" w:w="2469"/>
          </w:tcPr>
          <w:p>
            <w:r>
              <w:t>Défauts / retraités fragilisés</w:t>
            </w:r>
          </w:p>
        </w:tc>
      </w:tr>
      <w:tr>
        <w:tc>
          <w:tcPr>
            <w:tcW w:type="dxa" w:w="2469"/>
          </w:tcPr>
          <w:p>
            <w:r>
              <w:t>Budgétaire</w:t>
            </w:r>
          </w:p>
        </w:tc>
        <w:tc>
          <w:tcPr>
            <w:tcW w:type="dxa" w:w="2469"/>
          </w:tcPr>
          <w:p>
            <w:r>
              <w:t>Pacte Spread / solde primaire</w:t>
            </w:r>
          </w:p>
        </w:tc>
        <w:tc>
          <w:tcPr>
            <w:tcW w:type="dxa" w:w="2469"/>
          </w:tcPr>
          <w:p>
            <w:r>
              <w:t>Dépenses &lt; PIB nominal</w:t>
            </w:r>
          </w:p>
        </w:tc>
        <w:tc>
          <w:tcPr>
            <w:tcW w:type="dxa" w:w="2469"/>
          </w:tcPr>
          <w:p>
            <w:r>
              <w:t>Recettes consommées en dépenses</w:t>
            </w:r>
          </w:p>
        </w:tc>
      </w:tr>
      <w:tr>
        <w:tc>
          <w:tcPr>
            <w:tcW w:type="dxa" w:w="2469"/>
          </w:tcPr>
          <w:p>
            <w:r>
              <w:t>Productif</w:t>
            </w:r>
          </w:p>
        </w:tc>
        <w:tc>
          <w:tcPr>
            <w:tcW w:type="dxa" w:w="2469"/>
          </w:tcPr>
          <w:p>
            <w:r>
              <w:t>Investissement / offre / importations</w:t>
            </w:r>
          </w:p>
        </w:tc>
        <w:tc>
          <w:tcPr>
            <w:tcW w:type="dxa" w:w="2469"/>
          </w:tcPr>
          <w:p>
            <w:r>
              <w:t>Créer de la capacité domestique</w:t>
            </w:r>
          </w:p>
        </w:tc>
        <w:tc>
          <w:tcPr>
            <w:tcW w:type="dxa" w:w="2469"/>
          </w:tcPr>
          <w:p>
            <w:r>
              <w:t>Inflation / fuite importée</w:t>
            </w:r>
          </w:p>
        </w:tc>
      </w:tr>
      <w:tr>
        <w:tc>
          <w:tcPr>
            <w:tcW w:type="dxa" w:w="2469"/>
          </w:tcPr>
          <w:p>
            <w:r>
              <w:t>Travail</w:t>
            </w:r>
          </w:p>
        </w:tc>
        <w:tc>
          <w:tcPr>
            <w:tcW w:type="dxa" w:w="2469"/>
          </w:tcPr>
          <w:p>
            <w:r>
              <w:t>Taux d’emploi / transitions</w:t>
            </w:r>
          </w:p>
        </w:tc>
        <w:tc>
          <w:tcPr>
            <w:tcW w:type="dxa" w:w="2469"/>
          </w:tcPr>
          <w:p>
            <w:r>
              <w:t>Sécuriser le revenu</w:t>
            </w:r>
          </w:p>
        </w:tc>
        <w:tc>
          <w:tcPr>
            <w:tcW w:type="dxa" w:w="2469"/>
          </w:tcPr>
          <w:p>
            <w:r>
              <w:t>Chômage durable + dette longue</w:t>
            </w:r>
          </w:p>
        </w:tc>
      </w:tr>
    </w:tbl>
    <w:p>
      <w:pPr>
        <w:pStyle w:val="Heading1"/>
      </w:pPr>
      <w:r>
        <w:t>XXVI. Tableau de bord national</w:t>
      </w:r>
    </w:p>
    <w:p>
      <w:pPr>
        <w:pStyle w:val="Heading2"/>
      </w:pPr>
      <w:r>
        <w:t>Mesurer avant de raconter</w:t>
      </w:r>
    </w:p>
    <w:p>
      <w:r>
        <w:t>Le Pacte doit publier un tableau de bord trimestriel indépendant. Les indicateurs doivent couvrir les quatre bilans : ménages, État, banques et économie productive.</w:t>
      </w:r>
    </w:p>
    <w:p>
      <w:r>
        <w:t>Le débat public doit pouvoir distinguer une hausse de PIB tirée par la production d’une hausse nominale tirée par les prix, une amélioration fiscale cyclique d’une amélioration structurelle, et une hausse d’equity issue de l’épargne d’une hausse issue d’une bulle.</w:t>
      </w:r>
    </w:p>
    <w:tbl>
      <w:tblPr>
        <w:tblStyle w:val="TableGrid"/>
        <w:tblW w:type="auto" w:w="0"/>
        <w:jc w:val="center"/>
        <w:tblLook w:firstColumn="1" w:firstRow="1" w:lastColumn="0" w:lastRow="0" w:noHBand="0" w:noVBand="1" w:val="04A0"/>
      </w:tblPr>
      <w:tblGrid>
        <w:gridCol w:w="2469"/>
        <w:gridCol w:w="2469"/>
        <w:gridCol w:w="2469"/>
        <w:gridCol w:w="2469"/>
      </w:tblGrid>
      <w:tr>
        <w:tc>
          <w:tcPr>
            <w:tcW w:type="dxa" w:w="2469"/>
            <w:shd w:fill="16304A"/>
          </w:tcPr>
          <w:p>
            <w:r>
              <w:rPr>
                <w:b/>
                <w:color w:val="FFFFFF"/>
              </w:rPr>
              <w:t>Engagement</w:t>
            </w:r>
          </w:p>
        </w:tc>
        <w:tc>
          <w:tcPr>
            <w:tcW w:type="dxa" w:w="2469"/>
            <w:shd w:fill="16304A"/>
          </w:tcPr>
          <w:p>
            <w:r>
              <w:rPr>
                <w:b/>
                <w:color w:val="FFFFFF"/>
              </w:rPr>
              <w:t>Variable centrale</w:t>
            </w:r>
          </w:p>
        </w:tc>
        <w:tc>
          <w:tcPr>
            <w:tcW w:type="dxa" w:w="2469"/>
            <w:shd w:fill="16304A"/>
          </w:tcPr>
          <w:p>
            <w:r>
              <w:rPr>
                <w:b/>
                <w:color w:val="FFFFFF"/>
              </w:rPr>
              <w:t>Obligation</w:t>
            </w:r>
          </w:p>
        </w:tc>
        <w:tc>
          <w:tcPr>
            <w:tcW w:type="dxa" w:w="2469"/>
            <w:shd w:fill="16304A"/>
          </w:tcPr>
          <w:p>
            <w:r>
              <w:rPr>
                <w:b/>
                <w:color w:val="FFFFFF"/>
              </w:rPr>
              <w:t>Signal d’échec</w:t>
            </w:r>
          </w:p>
        </w:tc>
      </w:tr>
      <w:tr>
        <w:tc>
          <w:tcPr>
            <w:tcW w:type="dxa" w:w="2469"/>
          </w:tcPr>
          <w:p>
            <w:r>
              <w:t>Patrimonial</w:t>
            </w:r>
          </w:p>
        </w:tc>
        <w:tc>
          <w:tcPr>
            <w:tcW w:type="dxa" w:w="2469"/>
          </w:tcPr>
          <w:p>
            <w:r>
              <w:t>LTV / service dette</w:t>
            </w:r>
          </w:p>
        </w:tc>
        <w:tc>
          <w:tcPr>
            <w:tcW w:type="dxa" w:w="2469"/>
          </w:tcPr>
          <w:p>
            <w:r>
              <w:t>Prudence + protection</w:t>
            </w:r>
          </w:p>
        </w:tc>
        <w:tc>
          <w:tcPr>
            <w:tcW w:type="dxa" w:w="2469"/>
          </w:tcPr>
          <w:p>
            <w:r>
              <w:t>Défauts / retraités fragilisés</w:t>
            </w:r>
          </w:p>
        </w:tc>
      </w:tr>
      <w:tr>
        <w:tc>
          <w:tcPr>
            <w:tcW w:type="dxa" w:w="2469"/>
          </w:tcPr>
          <w:p>
            <w:r>
              <w:t>Budgétaire</w:t>
            </w:r>
          </w:p>
        </w:tc>
        <w:tc>
          <w:tcPr>
            <w:tcW w:type="dxa" w:w="2469"/>
          </w:tcPr>
          <w:p>
            <w:r>
              <w:t>Pacte Spread / solde primaire</w:t>
            </w:r>
          </w:p>
        </w:tc>
        <w:tc>
          <w:tcPr>
            <w:tcW w:type="dxa" w:w="2469"/>
          </w:tcPr>
          <w:p>
            <w:r>
              <w:t>Dépenses &lt; PIB nominal</w:t>
            </w:r>
          </w:p>
        </w:tc>
        <w:tc>
          <w:tcPr>
            <w:tcW w:type="dxa" w:w="2469"/>
          </w:tcPr>
          <w:p>
            <w:r>
              <w:t>Recettes consommées en dépenses</w:t>
            </w:r>
          </w:p>
        </w:tc>
      </w:tr>
      <w:tr>
        <w:tc>
          <w:tcPr>
            <w:tcW w:type="dxa" w:w="2469"/>
          </w:tcPr>
          <w:p>
            <w:r>
              <w:t>Productif</w:t>
            </w:r>
          </w:p>
        </w:tc>
        <w:tc>
          <w:tcPr>
            <w:tcW w:type="dxa" w:w="2469"/>
          </w:tcPr>
          <w:p>
            <w:r>
              <w:t>Investissement / offre / importations</w:t>
            </w:r>
          </w:p>
        </w:tc>
        <w:tc>
          <w:tcPr>
            <w:tcW w:type="dxa" w:w="2469"/>
          </w:tcPr>
          <w:p>
            <w:r>
              <w:t>Créer de la capacité domestique</w:t>
            </w:r>
          </w:p>
        </w:tc>
        <w:tc>
          <w:tcPr>
            <w:tcW w:type="dxa" w:w="2469"/>
          </w:tcPr>
          <w:p>
            <w:r>
              <w:t>Inflation / fuite importée</w:t>
            </w:r>
          </w:p>
        </w:tc>
      </w:tr>
      <w:tr>
        <w:tc>
          <w:tcPr>
            <w:tcW w:type="dxa" w:w="2469"/>
          </w:tcPr>
          <w:p>
            <w:r>
              <w:t>Travail</w:t>
            </w:r>
          </w:p>
        </w:tc>
        <w:tc>
          <w:tcPr>
            <w:tcW w:type="dxa" w:w="2469"/>
          </w:tcPr>
          <w:p>
            <w:r>
              <w:t>Taux d’emploi / transitions</w:t>
            </w:r>
          </w:p>
        </w:tc>
        <w:tc>
          <w:tcPr>
            <w:tcW w:type="dxa" w:w="2469"/>
          </w:tcPr>
          <w:p>
            <w:r>
              <w:t>Sécuriser le revenu</w:t>
            </w:r>
          </w:p>
        </w:tc>
        <w:tc>
          <w:tcPr>
            <w:tcW w:type="dxa" w:w="2469"/>
          </w:tcPr>
          <w:p>
            <w:r>
              <w:t>Chômage durable + dette longue</w:t>
            </w:r>
          </w:p>
        </w:tc>
      </w:tr>
    </w:tbl>
    <w:p>
      <w:pPr>
        <w:pStyle w:val="Heading1"/>
      </w:pPr>
      <w:r>
        <w:t>XXVII. Ce que le Pacte n’est pas</w:t>
      </w:r>
    </w:p>
    <w:p>
      <w:pPr>
        <w:pStyle w:val="Heading2"/>
      </w:pPr>
      <w:r>
        <w:t>Clarifier pour éviter les faux débats</w:t>
      </w:r>
    </w:p>
    <w:p>
      <w:r>
        <w:t>Le Pacte n’est pas une promesse de richesse gratuite ; pas une garantie publique des prix immobiliers ; pas une obligation faite aux ménages d’emprunter ; pas une substitution de la dette privée à toute dette publique ; pas un programme de consommation administrée ; pas une justification d’une hausse permanente du LTV ; pas une politique d’immigration destinée à soutenir le foncier ; et pas un argument pour retarder les réformes budgétaires.</w:t>
      </w:r>
    </w:p>
    <w:p>
      <w:r>
        <w:t>Il est une hypothèse de transition : utiliser une capacité patrimoniale privée sous-employée pour amortir une transformation qui doit précisément rendre cette impulsion inutile.</w:t>
      </w:r>
    </w:p>
    <w:tbl>
      <w:tblPr>
        <w:tblStyle w:val="TableGrid"/>
        <w:tblW w:type="auto" w:w="0"/>
        <w:jc w:val="center"/>
        <w:tblLook w:firstColumn="1" w:firstRow="1" w:lastColumn="0" w:lastRow="0" w:noHBand="0" w:noVBand="1" w:val="04A0"/>
      </w:tblPr>
      <w:tblGrid>
        <w:gridCol w:w="2469"/>
        <w:gridCol w:w="2469"/>
        <w:gridCol w:w="2469"/>
        <w:gridCol w:w="2469"/>
      </w:tblGrid>
      <w:tr>
        <w:tc>
          <w:tcPr>
            <w:tcW w:type="dxa" w:w="2469"/>
            <w:shd w:fill="16304A"/>
          </w:tcPr>
          <w:p>
            <w:r>
              <w:rPr>
                <w:b/>
                <w:color w:val="FFFFFF"/>
              </w:rPr>
              <w:t>Engagement</w:t>
            </w:r>
          </w:p>
        </w:tc>
        <w:tc>
          <w:tcPr>
            <w:tcW w:type="dxa" w:w="2469"/>
            <w:shd w:fill="16304A"/>
          </w:tcPr>
          <w:p>
            <w:r>
              <w:rPr>
                <w:b/>
                <w:color w:val="FFFFFF"/>
              </w:rPr>
              <w:t>Variable centrale</w:t>
            </w:r>
          </w:p>
        </w:tc>
        <w:tc>
          <w:tcPr>
            <w:tcW w:type="dxa" w:w="2469"/>
            <w:shd w:fill="16304A"/>
          </w:tcPr>
          <w:p>
            <w:r>
              <w:rPr>
                <w:b/>
                <w:color w:val="FFFFFF"/>
              </w:rPr>
              <w:t>Obligation</w:t>
            </w:r>
          </w:p>
        </w:tc>
        <w:tc>
          <w:tcPr>
            <w:tcW w:type="dxa" w:w="2469"/>
            <w:shd w:fill="16304A"/>
          </w:tcPr>
          <w:p>
            <w:r>
              <w:rPr>
                <w:b/>
                <w:color w:val="FFFFFF"/>
              </w:rPr>
              <w:t>Signal d’échec</w:t>
            </w:r>
          </w:p>
        </w:tc>
      </w:tr>
      <w:tr>
        <w:tc>
          <w:tcPr>
            <w:tcW w:type="dxa" w:w="2469"/>
          </w:tcPr>
          <w:p>
            <w:r>
              <w:t>Patrimonial</w:t>
            </w:r>
          </w:p>
        </w:tc>
        <w:tc>
          <w:tcPr>
            <w:tcW w:type="dxa" w:w="2469"/>
          </w:tcPr>
          <w:p>
            <w:r>
              <w:t>LTV / service dette</w:t>
            </w:r>
          </w:p>
        </w:tc>
        <w:tc>
          <w:tcPr>
            <w:tcW w:type="dxa" w:w="2469"/>
          </w:tcPr>
          <w:p>
            <w:r>
              <w:t>Prudence + protection</w:t>
            </w:r>
          </w:p>
        </w:tc>
        <w:tc>
          <w:tcPr>
            <w:tcW w:type="dxa" w:w="2469"/>
          </w:tcPr>
          <w:p>
            <w:r>
              <w:t>Défauts / retraités fragilisés</w:t>
            </w:r>
          </w:p>
        </w:tc>
      </w:tr>
      <w:tr>
        <w:tc>
          <w:tcPr>
            <w:tcW w:type="dxa" w:w="2469"/>
          </w:tcPr>
          <w:p>
            <w:r>
              <w:t>Budgétaire</w:t>
            </w:r>
          </w:p>
        </w:tc>
        <w:tc>
          <w:tcPr>
            <w:tcW w:type="dxa" w:w="2469"/>
          </w:tcPr>
          <w:p>
            <w:r>
              <w:t>Pacte Spread / solde primaire</w:t>
            </w:r>
          </w:p>
        </w:tc>
        <w:tc>
          <w:tcPr>
            <w:tcW w:type="dxa" w:w="2469"/>
          </w:tcPr>
          <w:p>
            <w:r>
              <w:t>Dépenses &lt; PIB nominal</w:t>
            </w:r>
          </w:p>
        </w:tc>
        <w:tc>
          <w:tcPr>
            <w:tcW w:type="dxa" w:w="2469"/>
          </w:tcPr>
          <w:p>
            <w:r>
              <w:t>Recettes consommées en dépenses</w:t>
            </w:r>
          </w:p>
        </w:tc>
      </w:tr>
      <w:tr>
        <w:tc>
          <w:tcPr>
            <w:tcW w:type="dxa" w:w="2469"/>
          </w:tcPr>
          <w:p>
            <w:r>
              <w:t>Productif</w:t>
            </w:r>
          </w:p>
        </w:tc>
        <w:tc>
          <w:tcPr>
            <w:tcW w:type="dxa" w:w="2469"/>
          </w:tcPr>
          <w:p>
            <w:r>
              <w:t>Investissement / offre / importations</w:t>
            </w:r>
          </w:p>
        </w:tc>
        <w:tc>
          <w:tcPr>
            <w:tcW w:type="dxa" w:w="2469"/>
          </w:tcPr>
          <w:p>
            <w:r>
              <w:t>Créer de la capacité domestique</w:t>
            </w:r>
          </w:p>
        </w:tc>
        <w:tc>
          <w:tcPr>
            <w:tcW w:type="dxa" w:w="2469"/>
          </w:tcPr>
          <w:p>
            <w:r>
              <w:t>Inflation / fuite importée</w:t>
            </w:r>
          </w:p>
        </w:tc>
      </w:tr>
      <w:tr>
        <w:tc>
          <w:tcPr>
            <w:tcW w:type="dxa" w:w="2469"/>
          </w:tcPr>
          <w:p>
            <w:r>
              <w:t>Travail</w:t>
            </w:r>
          </w:p>
        </w:tc>
        <w:tc>
          <w:tcPr>
            <w:tcW w:type="dxa" w:w="2469"/>
          </w:tcPr>
          <w:p>
            <w:r>
              <w:t>Taux d’emploi / transitions</w:t>
            </w:r>
          </w:p>
        </w:tc>
        <w:tc>
          <w:tcPr>
            <w:tcW w:type="dxa" w:w="2469"/>
          </w:tcPr>
          <w:p>
            <w:r>
              <w:t>Sécuriser le revenu</w:t>
            </w:r>
          </w:p>
        </w:tc>
        <w:tc>
          <w:tcPr>
            <w:tcW w:type="dxa" w:w="2469"/>
          </w:tcPr>
          <w:p>
            <w:r>
              <w:t>Chômage durable + dette longue</w:t>
            </w:r>
          </w:p>
        </w:tc>
      </w:tr>
    </w:tbl>
    <w:p>
      <w:pPr>
        <w:pStyle w:val="Heading2"/>
      </w:pPr>
      <w:r>
        <w:t>Indicateurs minimaux du tableau de bord</w:t>
      </w:r>
    </w:p>
    <w:p>
      <w:pPr>
        <w:pStyle w:val="ListBullet"/>
      </w:pPr>
      <w:r>
        <w:t>Crédit : nouveaux flux, encours, LTV, DSTI, taux, maturités, usages des fonds.</w:t>
      </w:r>
    </w:p>
    <w:p>
      <w:pPr>
        <w:pStyle w:val="ListBullet"/>
      </w:pPr>
      <w:r>
        <w:t>Ménages : défauts, patrimoine net, distribution par âge/revenu, incidents de vie, situation à la retraite.</w:t>
      </w:r>
    </w:p>
    <w:p>
      <w:pPr>
        <w:pStyle w:val="ListBullet"/>
      </w:pPr>
      <w:r>
        <w:t>Immobilier : prix/revenus, prix/loyers, transactions, construction, vacance, mobilité et downsizing.</w:t>
      </w:r>
    </w:p>
    <w:p>
      <w:pPr>
        <w:pStyle w:val="ListBullet"/>
      </w:pPr>
      <w:r>
        <w:t>Économie réelle : consommation, investissement, créations d’entreprises, emploi, productivité, inflation, importations et exportations.</w:t>
      </w:r>
    </w:p>
    <w:p>
      <w:pPr>
        <w:pStyle w:val="ListBullet"/>
      </w:pPr>
      <w:r>
        <w:t>Finances publiques : recettes, dépenses nominales, solde primaire, charge d’intérêt, déficit structurel, dette/PIB, Pacte Spread.</w:t>
      </w:r>
    </w:p>
    <w:p>
      <w:pPr>
        <w:pStyle w:val="ListBullet"/>
      </w:pPr>
      <w:r>
        <w:t>Banques : capital, liquidité, concentration immobilière, coût du refinancement, pertes attendues et stress tests.</w:t>
      </w:r>
    </w:p>
    <w:p>
      <w:pPr>
        <w:pStyle w:val="Heading1"/>
      </w:pPr>
      <w:r>
        <w:t>Conclusion — Une génération pour transformer le bilan français</w:t>
      </w:r>
    </w:p>
    <w:p>
      <w:r>
        <w:t>La France possède des maisons, des entreprises, des infrastructures, de l’épargne, des compétences et un patrimoine considérable. Son problème n’est pas uniquement la quantité de richesse qu’elle possède. C’est aussi la manière dont cette richesse circule.</w:t>
      </w:r>
    </w:p>
    <w:p>
      <w:r>
        <w:t>Une grande partie du capital des ménages est immobilisée dans le logement. Parallèlement, l’État s’endette pour maintenir un niveau de dépenses qu’il ne finance pas entièrement par ses recettes.</w:t>
      </w:r>
    </w:p>
    <w:p>
      <w:r>
        <w:t>Le Pacte du Bilan Français propose d’examiner un échange radical : davantage de mobilisation prudente du patrimoine privé aujourd’hui, contre une restauration obligatoire du bilan public et une augmentation durable de la capacité productive demain.</w:t>
      </w:r>
    </w:p>
    <w:p>
      <w:r>
        <w:t>Le mécanisme pourrait soutenir la demande pendant une consolidation budgétaire, augmenter l’activité et les recettes publiques, approfondir le système financier et accélérer la circulation intergénérationnelle du patrimoine. Il pourrait aussi provoquer une bulle immobilière, accroître les inégalités, fragiliser certains ménages et déplacer simplement le levier du public vers le privé.</w:t>
      </w:r>
    </w:p>
    <w:p>
      <w:r>
        <w:t>Les deux possibilités sont réelles. C’est pourquoi le mécanisme financier ne peut jamais être séparé du Pacte.</w:t>
      </w:r>
    </w:p>
    <w:tbl>
      <w:tblPr>
        <w:tblW w:type="auto" w:w="0"/>
        <w:jc w:val="center"/>
        <w:tblLook w:firstColumn="1" w:firstRow="1" w:lastColumn="0" w:lastRow="0" w:noHBand="0" w:noVBand="1" w:val="04A0"/>
      </w:tblPr>
      <w:tblGrid>
        <w:gridCol w:w="9878"/>
      </w:tblGrid>
      <w:tr>
        <w:tc>
          <w:tcPr>
            <w:tcW w:type="dxa" w:w="9878"/>
            <w:shd w:fill="F2F5F7"/>
            <w:vAlign w:val="center"/>
          </w:tcPr>
          <w:p>
            <w:r>
              <w:rPr>
                <w:b/>
                <w:color w:val="162A42"/>
              </w:rPr>
              <w:t>Les règles du Pacte</w:t>
            </w:r>
            <w:r>
              <w:br/>
              <w:t>Pas de libération du crédit sans consolidation budgétaire.</w:t>
              <w:br/>
              <w:t>Pas de choc de demande sans choc d’offre.</w:t>
              <w:br/>
              <w:t>Pas davantage de dette des ménages sans politique de plein emploi.</w:t>
              <w:br/>
              <w:t>Pas d’inflation patrimoniale sans protection de l’accès au logement.</w:t>
              <w:br/>
              <w:t>Pas de croissance des banques sans renforcement prudentiel.</w:t>
              <w:br/>
              <w:t>Pas d’utilisation du patrimoine sans protection de la retraite.</w:t>
              <w:br/>
              <w:t>Et surtout : pas de silver bullet sans stratégie pour le jour où elle aura été tirée.</w:t>
            </w:r>
          </w:p>
        </w:tc>
      </w:tr>
    </w:tbl>
    <w:p>
      <w:r>
        <w:t>L’horizon devrait être 2040. À cette date, le succès ne se mesurerait pas au nombre de milliards empruntés. Il se mesurerait à la capacité de la France à ne plus en avoir besoin.</w:t>
      </w:r>
    </w:p>
    <w:p>
      <w:r>
        <w:t>Le véritable objectif du Pacte serait donc paradoxalement de rendre son propre moteur de transition inutile : utiliser une fois le bilan accumulé par la France d’hier pour construire une France qui puisse ensuite grandir par son travail, son investissement, sa productivité et ses entreprises.</w:t>
      </w:r>
    </w:p>
    <w:p>
      <w:r>
        <w:t>Voilà la proposition à tester. Pas une promesse de richesse gratuite. Une fenêtre patrimoniale exceptionnelle, utilisée pour tenter une transformation exceptionnelle.</w:t>
      </w:r>
    </w:p>
    <w:p>
      <w:r>
        <w:br w:type="page"/>
      </w:r>
    </w:p>
    <w:p>
      <w:pPr>
        <w:pStyle w:val="Heading1"/>
      </w:pPr>
      <w:r>
        <w:t>Sources principales et statut des chiffres</w:t>
      </w:r>
    </w:p>
    <w:p>
      <w:r>
        <w:t>Les chiffres ci-dessous ont été revérifiés pour cette V2. Les montants théoriques de capacité de crédit et les trajectoires 2027–2040 restent des scénarios de travail, non des prévisions.</w:t>
      </w:r>
    </w:p>
    <w:tbl>
      <w:tblPr>
        <w:tblStyle w:val="TableGrid"/>
        <w:tblW w:type="auto" w:w="0"/>
        <w:tblLook w:firstColumn="1" w:firstRow="1" w:lastColumn="0" w:lastRow="0" w:noHBand="0" w:noVBand="1" w:val="04A0"/>
      </w:tblPr>
      <w:tblGrid>
        <w:gridCol w:w="4939"/>
        <w:gridCol w:w="4939"/>
      </w:tblGrid>
      <w:tr>
        <w:tc>
          <w:tcPr>
            <w:tcW w:type="dxa" w:w="4939"/>
            <w:shd w:fill="16304A"/>
          </w:tcPr>
          <w:p>
            <w:r>
              <w:rPr>
                <w:b/>
                <w:color w:val="FFFFFF"/>
              </w:rPr>
              <w:t>Source</w:t>
            </w:r>
          </w:p>
        </w:tc>
        <w:tc>
          <w:tcPr>
            <w:tcW w:type="dxa" w:w="4939"/>
            <w:shd w:fill="16304A"/>
          </w:tcPr>
          <w:p>
            <w:r>
              <w:rPr>
                <w:b/>
                <w:color w:val="FFFFFF"/>
              </w:rPr>
              <w:t>Utilisation</w:t>
            </w:r>
          </w:p>
        </w:tc>
      </w:tr>
      <w:tr>
        <w:tc>
          <w:tcPr>
            <w:tcW w:type="dxa" w:w="4939"/>
          </w:tcPr>
          <w:p>
            <w:r>
              <w:t>Finances publiques 2025 — Insee, Informations rapides n°78, 27 mars 2026</w:t>
            </w:r>
          </w:p>
        </w:tc>
        <w:tc>
          <w:tcPr>
            <w:tcW w:type="dxa" w:w="4939"/>
          </w:tcPr>
          <w:p>
            <w:r>
              <w:t>Dette 3 460,5 Md€ ; déficit 5,1 % du PIB ; dette 115,6 % ; dépenses 57,2 %.</w:t>
            </w:r>
          </w:p>
        </w:tc>
      </w:tr>
      <w:tr>
        <w:tc>
          <w:tcPr>
            <w:tcW w:type="dxa" w:w="4939"/>
          </w:tcPr>
          <w:p>
            <w:r>
              <w:t>Patrimoine économique national 2024 — Insee Première n°2081, 6 novembre 2025</w:t>
            </w:r>
          </w:p>
        </w:tc>
        <w:tc>
          <w:tcPr>
            <w:tcW w:type="dxa" w:w="4939"/>
          </w:tcPr>
          <w:p>
            <w:r>
              <w:t>Ménages : logements 4 807 Md€ ; terrains bâtis 4 043 Md€ ; patrimoine total 14 953 Md€.</w:t>
            </w:r>
          </w:p>
        </w:tc>
      </w:tr>
      <w:tr>
        <w:tc>
          <w:tcPr>
            <w:tcW w:type="dxa" w:w="4939"/>
          </w:tcPr>
          <w:p>
            <w:r>
              <w:t>Crédits aux particuliers — Banque de France, juillet 2026</w:t>
            </w:r>
          </w:p>
        </w:tc>
        <w:tc>
          <w:tcPr>
            <w:tcW w:type="dxa" w:w="4939"/>
          </w:tcPr>
          <w:p>
            <w:r>
              <w:t>Encours habitat particuliers 1 289 Md€ ; part des nouveaux crédits habitat à taux fixe 99,4 %.</w:t>
            </w:r>
          </w:p>
        </w:tc>
      </w:tr>
      <w:tr>
        <w:tc>
          <w:tcPr>
            <w:tcW w:type="dxa" w:w="4939"/>
          </w:tcPr>
          <w:p>
            <w:r>
              <w:t>Parc de logements au 1er janvier 2025 — Insee Focus n°359</w:t>
            </w:r>
          </w:p>
        </w:tc>
        <w:tc>
          <w:tcPr>
            <w:tcW w:type="dxa" w:w="4939"/>
          </w:tcPr>
          <w:p>
            <w:r>
              <w:t>57,4 % des ménages propriétaires ; 34,9 % propriétaires sans charge de remboursement.</w:t>
            </w:r>
          </w:p>
        </w:tc>
      </w:tr>
      <w:tr>
        <w:tc>
          <w:tcPr>
            <w:tcW w:type="dxa" w:w="4939"/>
          </w:tcPr>
          <w:p>
            <w:r>
              <w:t>Projections de population à l’horizon 2070 — Insee Première n°2108, juin 2026</w:t>
            </w:r>
          </w:p>
        </w:tc>
        <w:tc>
          <w:tcPr>
            <w:tcW w:type="dxa" w:w="4939"/>
          </w:tcPr>
          <w:p>
            <w:r>
              <w:t>40 personnes de 65+ pour 100 personnes de 20–64 ans en 2026 ; 49 en 2040 ; baisse de population à partir de 2037 dans le scénario central.</w:t>
            </w:r>
          </w:p>
        </w:tc>
      </w:tr>
      <w:tr>
        <w:tc>
          <w:tcPr>
            <w:tcW w:type="dxa" w:w="4939"/>
          </w:tcPr>
          <w:p>
            <w:r>
              <w:t>Ordonnance n°2006-346 et Code de la consommation historique — Légifrance</w:t>
            </w:r>
          </w:p>
        </w:tc>
        <w:tc>
          <w:tcPr>
            <w:tcW w:type="dxa" w:w="4939"/>
          </w:tcPr>
          <w:p>
            <w:r>
              <w:t>Création de l’hypothèque rechargeable en 2006 ; dispositions correspondantes abrogées en 2014.</w:t>
            </w:r>
          </w:p>
        </w:tc>
      </w:tr>
    </w:tbl>
    <w:p>
      <w:pPr>
        <w:pStyle w:val="Heading1"/>
      </w:pPr>
      <w:r>
        <w:t>Questions ouvertes prioritaires</w:t>
      </w:r>
    </w:p>
    <w:p>
      <w:pPr>
        <w:pStyle w:val="ListNumber"/>
      </w:pPr>
      <w:r>
        <w:t>Quelle fraction de l’equity est réellement mobilisable une fois appliquées les contraintes de revenu, d’âge, de propriété, de banque et de distribution ?</w:t>
      </w:r>
    </w:p>
    <w:p>
      <w:pPr>
        <w:pStyle w:val="ListNumber"/>
      </w:pPr>
      <w:r>
        <w:t>Quelle est la propension marginale à dépenser ou investir les fonds extraits, par âge, revenu et patrimoine ?</w:t>
      </w:r>
    </w:p>
    <w:p>
      <w:pPr>
        <w:pStyle w:val="ListNumber"/>
      </w:pPr>
      <w:r>
        <w:t>Quelle part de cette dépense devient valeur ajoutée française plutôt qu’importation ou prix d’actifs ?</w:t>
      </w:r>
    </w:p>
    <w:p>
      <w:pPr>
        <w:pStyle w:val="ListNumber"/>
      </w:pPr>
      <w:r>
        <w:t>Quel rythme annuel de montée en charge est compatible avec l’offre et l’inflation ?</w:t>
      </w:r>
    </w:p>
    <w:p>
      <w:pPr>
        <w:pStyle w:val="ListNumber"/>
      </w:pPr>
      <w:r>
        <w:t>Quelle architecture bancaire permet de conserver taux fixes longs et faible LTV sans créer un risque actif-passif excessif ?</w:t>
      </w:r>
    </w:p>
    <w:p>
      <w:pPr>
        <w:pStyle w:val="ListNumber"/>
      </w:pPr>
      <w:r>
        <w:t>Quelle règle budgétaire rend le Pacte politiquement crédible et juridiquement durable ?</w:t>
      </w:r>
    </w:p>
    <w:p>
      <w:pPr>
        <w:pStyle w:val="ListNumber"/>
      </w:pPr>
      <w:r>
        <w:t>Comment protéger les locataires et primo-accédants d’une hausse excessive du foncier ?</w:t>
      </w:r>
    </w:p>
    <w:p>
      <w:pPr>
        <w:pStyle w:val="ListNumber"/>
      </w:pPr>
      <w:r>
        <w:t>Quels seuils précis doivent déclencher le ralentissement ou l’arrêt automatique du dispositif ?</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Document de travail — septembre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t>PACTE DU BILAN FRANÇAIS — V2 ENRICHIE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162A42"/>
      <w:sz w:val="3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62A4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62A42"/>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after="120"/>
    </w:pPr>
    <w:rPr>
      <w:rFonts w:ascii="Aptos" w:hAnsi="Aptos"/>
      <w:b w:val="0"/>
      <w:color w:val="414C58"/>
      <w:sz w:val="28"/>
    </w:rPr>
  </w:style>
  <w:style w:type="paragraph" w:customStyle="1" w:styleId="Callout">
    <w:name w:val="Callout"/>
    <w:pPr>
      <w:spacing w:after="120"/>
    </w:pPr>
    <w:rPr>
      <w:rFonts w:ascii="Aptos" w:hAnsi="Aptos"/>
      <w:b/>
      <w:color w:val="162A42"/>
      <w:sz w:val="22"/>
    </w:rPr>
  </w:style>
  <w:style w:type="paragraph" w:customStyle="1" w:styleId="Small">
    <w:name w:val="Small"/>
    <w:pPr>
      <w:spacing w:after="120"/>
    </w:pPr>
    <w:rPr>
      <w:rFonts w:ascii="Aptos" w:hAnsi="Aptos"/>
      <w:b w:val="0"/>
      <w:color w:val="5A5F64"/>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